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8DE" w:rsidRDefault="00B338DE" w:rsidP="009E1591">
      <w:pPr>
        <w:shd w:val="clear" w:color="auto" w:fill="FFFFFF"/>
        <w:spacing w:after="240" w:line="336" w:lineRule="atLeast"/>
        <w:rPr>
          <w:rFonts w:ascii="Tahoma" w:eastAsia="Times New Roman" w:hAnsi="Tahoma" w:cs="Tahoma"/>
          <w:color w:val="333333"/>
          <w:sz w:val="19"/>
          <w:szCs w:val="19"/>
        </w:rPr>
      </w:pPr>
    </w:p>
    <w:p w:rsidR="00B338DE" w:rsidRPr="00B338DE" w:rsidRDefault="00BF2343" w:rsidP="00B338DE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666666"/>
          <w:spacing w:val="-12"/>
          <w:sz w:val="28"/>
          <w:szCs w:val="28"/>
        </w:rPr>
      </w:pPr>
      <w:hyperlink r:id="rId6" w:tooltip="Информация  о состоянии окружающей среды  и об использовании природных ресурсов" w:history="1">
        <w:r w:rsidR="00B338DE" w:rsidRPr="00DE298F">
          <w:rPr>
            <w:rStyle w:val="a4"/>
            <w:b w:val="0"/>
            <w:bCs w:val="0"/>
            <w:spacing w:val="-12"/>
            <w:sz w:val="28"/>
            <w:szCs w:val="28"/>
            <w:highlight w:val="yellow"/>
            <w:bdr w:val="none" w:sz="0" w:space="0" w:color="auto" w:frame="1"/>
            <w:shd w:val="clear" w:color="auto" w:fill="666666"/>
          </w:rPr>
          <w:t>Информация о состоянии окружающей среды и об использовании природных ресурсов</w:t>
        </w:r>
      </w:hyperlink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B338DE" w:rsidRPr="00B338DE" w:rsidTr="00B338DE">
        <w:tc>
          <w:tcPr>
            <w:tcW w:w="0" w:type="auto"/>
            <w:vAlign w:val="center"/>
            <w:hideMark/>
          </w:tcPr>
          <w:p w:rsidR="00B338DE" w:rsidRPr="00B338DE" w:rsidRDefault="00B338DE" w:rsidP="00B338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B338DE" w:rsidRDefault="00B338DE" w:rsidP="009E1591">
      <w:pPr>
        <w:shd w:val="clear" w:color="auto" w:fill="FFFFFF"/>
        <w:spacing w:after="240" w:line="336" w:lineRule="atLeast"/>
        <w:rPr>
          <w:rFonts w:ascii="Tahoma" w:eastAsia="Times New Roman" w:hAnsi="Tahoma" w:cs="Tahoma"/>
          <w:color w:val="333333"/>
          <w:sz w:val="19"/>
          <w:szCs w:val="19"/>
        </w:rPr>
      </w:pPr>
    </w:p>
    <w:p w:rsidR="009E1591" w:rsidRPr="00F25A15" w:rsidRDefault="009E1591" w:rsidP="00B338DE">
      <w:pPr>
        <w:shd w:val="clear" w:color="auto" w:fill="FFFFFF"/>
        <w:spacing w:after="240" w:line="33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Органы местного самоуправления являются субъектами природоохранной деятельности, и согласно ст. 1 Федерального закона «Об охране окружающей среды» осуществляют деятельность, направленную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ее последствий.</w:t>
      </w:r>
    </w:p>
    <w:p w:rsidR="009E1591" w:rsidRPr="00F25A15" w:rsidRDefault="009E1591" w:rsidP="00B338DE">
      <w:pPr>
        <w:shd w:val="clear" w:color="auto" w:fill="FFFFFF"/>
        <w:spacing w:after="240" w:line="33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целом экологическая ситуация на территории МО </w:t>
      </w:r>
      <w:r w:rsidR="00D86E69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Новосултангуловский</w:t>
      </w: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сельсовет благоприятная. Н</w:t>
      </w:r>
      <w:r w:rsidR="00B338DE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а территории муниципального обр</w:t>
      </w: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азования отсутствуют высокотоксичные производства, уровень загрязнения воды, почвы и воздуха не превышает предельно допустимых нормативов.</w:t>
      </w:r>
    </w:p>
    <w:p w:rsidR="009E1591" w:rsidRPr="00F25A15" w:rsidRDefault="009E1591" w:rsidP="00B338DE">
      <w:pPr>
        <w:shd w:val="clear" w:color="auto" w:fill="FFFFFF"/>
        <w:spacing w:after="240" w:line="33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Основными источниками загрязнения окружающей среды в муниципальном образовании являются автотранспорт, твёрдые коммунальные отходы (далее ТКО), отходы от д</w:t>
      </w:r>
      <w:r w:rsidR="00B338DE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еятельности сельскохозяйственного предприятия</w:t>
      </w: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E1591" w:rsidRPr="00F25A15" w:rsidRDefault="009E1591" w:rsidP="00B338DE">
      <w:pPr>
        <w:shd w:val="clear" w:color="auto" w:fill="FFFFFF"/>
        <w:spacing w:after="240" w:line="33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Решена проблема сбора и утилизации бытовых отходов. На территории муниципа</w:t>
      </w:r>
      <w:r w:rsidR="00B338DE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льно</w:t>
      </w:r>
      <w:r w:rsidR="00057553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го образования</w:t>
      </w:r>
      <w:r w:rsidR="00B338DE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установлено </w:t>
      </w:r>
      <w:r w:rsidR="00F25A15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28</w:t>
      </w:r>
      <w:r w:rsidR="00EA0E71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контейнеров</w:t>
      </w: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для сбора ТКО. Вывоз твердых коммунальных о</w:t>
      </w:r>
      <w:r w:rsidR="00B338DE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тходов осуществляет </w:t>
      </w: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оператор</w:t>
      </w:r>
      <w:r w:rsidR="00B338DE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ООО </w:t>
      </w:r>
      <w:r w:rsidR="00BF2343">
        <w:rPr>
          <w:rFonts w:ascii="Times New Roman" w:eastAsia="Times New Roman" w:hAnsi="Times New Roman" w:cs="Times New Roman"/>
          <w:color w:val="333333"/>
          <w:sz w:val="28"/>
          <w:szCs w:val="28"/>
        </w:rPr>
        <w:t>« Промпереработка</w:t>
      </w:r>
      <w:bookmarkStart w:id="0" w:name="_GoBack"/>
      <w:bookmarkEnd w:id="0"/>
      <w:r w:rsidR="00B338DE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E1591" w:rsidRPr="00F25A15" w:rsidRDefault="009E1591" w:rsidP="00B338DE">
      <w:pPr>
        <w:shd w:val="clear" w:color="auto" w:fill="FFFFFF"/>
        <w:spacing w:after="240" w:line="33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Автодорожная сеть на территории поселения представлена участками межмуниципального значения и сетью автодорог общего пользования местного значения.</w:t>
      </w:r>
    </w:p>
    <w:p w:rsidR="009E1591" w:rsidRPr="00F25A15" w:rsidRDefault="009E1591" w:rsidP="00B338DE">
      <w:pPr>
        <w:shd w:val="clear" w:color="auto" w:fill="FFFFFF"/>
        <w:spacing w:after="240" w:line="33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Автотранспорт относится к основным источникам загрязнения окружающей среды. Его выбросы оказывают негативное воздействие на состояние атмосферного воздуха жилых зон, а также являются источниками загрязнения сельскохозяйственных земель вдоль автомобильных дорог.</w:t>
      </w:r>
    </w:p>
    <w:p w:rsidR="009E1591" w:rsidRPr="00F25A15" w:rsidRDefault="009E1591" w:rsidP="00B338DE">
      <w:pPr>
        <w:shd w:val="clear" w:color="auto" w:fill="FFFFFF"/>
        <w:spacing w:after="240" w:line="33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На территории муниципального образования имеются действующие объекты специального назначения – скотомогильники, а также свалки твердых коммунальных отходов.</w:t>
      </w:r>
    </w:p>
    <w:p w:rsidR="009E1591" w:rsidRPr="00F25A15" w:rsidRDefault="009E1591" w:rsidP="00B338DE">
      <w:pPr>
        <w:shd w:val="clear" w:color="auto" w:fill="FFFFFF"/>
        <w:spacing w:after="240" w:line="33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="00057553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селение для обеспечения питьевой водой используют собственные скважины, на  </w:t>
      </w: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территории муниципального образования </w:t>
      </w:r>
      <w:r w:rsidR="00057553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нет водопровода. </w:t>
      </w: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Запасов подземных вод достаточно для обеспечения чистой водой жителей всех населенных пунктов муниципального образования.</w:t>
      </w:r>
    </w:p>
    <w:p w:rsidR="009E1591" w:rsidRPr="00F25A15" w:rsidRDefault="009E1591" w:rsidP="00B338DE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Для решения проблем по благоустройству населенных пунктов</w:t>
      </w:r>
      <w:r w:rsidR="00EA0E71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25A15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</w:rPr>
        <w:t xml:space="preserve">Решение Совета депутатов муниципального образования </w:t>
      </w:r>
      <w:r w:rsidR="00D86E69" w:rsidRPr="00F25A15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</w:rPr>
        <w:t>Новосултангуловский</w:t>
      </w:r>
      <w:r w:rsidR="00770EFF" w:rsidRPr="00F25A15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</w:rPr>
        <w:t xml:space="preserve"> сельсовет от </w:t>
      </w:r>
      <w:r w:rsidR="00D86E69" w:rsidRPr="00F25A15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</w:rPr>
        <w:t>31.05</w:t>
      </w:r>
      <w:r w:rsidR="00770EFF" w:rsidRPr="00F25A15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</w:rPr>
        <w:t>.2019</w:t>
      </w:r>
      <w:r w:rsidRPr="00F25A15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</w:rPr>
        <w:t xml:space="preserve"> № </w:t>
      </w:r>
      <w:r w:rsidR="00EA0E71" w:rsidRPr="00F25A15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</w:rPr>
        <w:t>1</w:t>
      </w:r>
      <w:r w:rsidR="00D86E69" w:rsidRPr="00F25A15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</w:rPr>
        <w:t>23</w:t>
      </w:r>
      <w:r w:rsidR="00EA0E71" w:rsidRPr="00F25A15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</w:rPr>
        <w:t xml:space="preserve"> </w:t>
      </w: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утверждены  Правила благоустройства территории муниципального образования </w:t>
      </w:r>
      <w:r w:rsidR="00D86E69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Новосултангуловский</w:t>
      </w: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сельсовет </w:t>
      </w:r>
      <w:r w:rsidR="00770EFF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Асекеевского</w:t>
      </w: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 Оренбургской области. Вышеуказанный нормативный правовой акт размещен на сайте администрации </w:t>
      </w:r>
      <w:proofErr w:type="spellStart"/>
      <w:r w:rsidR="00D86E69"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Новосултангуловского</w:t>
      </w:r>
      <w:proofErr w:type="spellEnd"/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сельсовета в информационно-телекоммуникационной сети Интернет.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9E1591" w:rsidRPr="00F25A15" w:rsidRDefault="009E1591" w:rsidP="00B338DE">
      <w:pPr>
        <w:shd w:val="clear" w:color="auto" w:fill="FFFFFF"/>
        <w:spacing w:after="240" w:line="33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5A15">
        <w:rPr>
          <w:rFonts w:ascii="Times New Roman" w:eastAsia="Times New Roman" w:hAnsi="Times New Roman" w:cs="Times New Roman"/>
          <w:color w:val="333333"/>
          <w:sz w:val="28"/>
          <w:szCs w:val="28"/>
        </w:rPr>
        <w:t>Администрацией сельского поселения проводятся месячники по уборке территорий населенных пунктов весной и осенью. Проводится разъяснительная работа с населением по вопросу обращения с ТКО: о запрете сжигания, нелегального размещения мусора, о негативных экологических последствиях.</w:t>
      </w:r>
    </w:p>
    <w:p w:rsidR="009E1591" w:rsidRPr="00F25A15" w:rsidRDefault="009E1591" w:rsidP="00B338DE">
      <w:pPr>
        <w:pBdr>
          <w:left w:val="single" w:sz="48" w:space="12" w:color="CCCCCC"/>
        </w:pBdr>
        <w:shd w:val="clear" w:color="auto" w:fill="EEEEEE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F25A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Мероприятия по охране окружающей среды по  Генплану</w:t>
      </w:r>
    </w:p>
    <w:p w:rsidR="00A54B14" w:rsidRPr="009E1591" w:rsidRDefault="00A54B14" w:rsidP="00B338DE">
      <w:pPr>
        <w:pBdr>
          <w:left w:val="single" w:sz="48" w:space="12" w:color="CCCCCC"/>
        </w:pBdr>
        <w:shd w:val="clear" w:color="auto" w:fill="EEEEEE"/>
        <w:spacing w:after="0" w:line="336" w:lineRule="atLeast"/>
        <w:jc w:val="both"/>
        <w:rPr>
          <w:rFonts w:ascii="Tahoma" w:eastAsia="Times New Roman" w:hAnsi="Tahoma" w:cs="Tahoma"/>
          <w:color w:val="333333"/>
          <w:sz w:val="19"/>
          <w:szCs w:val="19"/>
        </w:rPr>
      </w:pP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Основными мероприятиями по охране окружающей среды и поддержанию благоприятной санитарно-эпидемиологической обстановки в условиях градостроительного развития, является установление зон с особыми условиями использования территории. Наличие тех или иных зон с особыми условиями использования определяет систему градостроительных ограничений территории, от которых во многом зависят планировочная структура населенных пунктов, условия развития селитебных территорий или производственных зон.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Зоны  с особыми условиями использования территории представлены:</w:t>
      </w:r>
    </w:p>
    <w:p w:rsidR="00F25A15" w:rsidRPr="00F25A15" w:rsidRDefault="00F25A15" w:rsidP="00F25A15">
      <w:pPr>
        <w:pStyle w:val="ab"/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eastAsia="Calibri"/>
          <w:kern w:val="0"/>
          <w:sz w:val="28"/>
          <w:szCs w:val="28"/>
          <w:lang w:eastAsia="en-US"/>
        </w:rPr>
      </w:pPr>
      <w:r w:rsidRPr="00F25A15">
        <w:rPr>
          <w:rFonts w:eastAsia="Calibri"/>
          <w:kern w:val="0"/>
          <w:sz w:val="28"/>
          <w:szCs w:val="28"/>
          <w:lang w:eastAsia="en-US"/>
        </w:rPr>
        <w:t>Санитарно-защитными зонами (СЗЗ) предприятий, сооружений  и иных объектов</w:t>
      </w:r>
    </w:p>
    <w:p w:rsidR="00F25A15" w:rsidRPr="00F25A15" w:rsidRDefault="00F25A15" w:rsidP="00F25A15">
      <w:pPr>
        <w:pStyle w:val="ab"/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eastAsia="Calibri"/>
          <w:kern w:val="0"/>
          <w:sz w:val="28"/>
          <w:szCs w:val="28"/>
          <w:lang w:eastAsia="en-US"/>
        </w:rPr>
      </w:pPr>
      <w:proofErr w:type="spellStart"/>
      <w:r w:rsidRPr="00F25A15">
        <w:rPr>
          <w:rFonts w:eastAsia="Calibri"/>
          <w:kern w:val="0"/>
          <w:sz w:val="28"/>
          <w:szCs w:val="28"/>
          <w:lang w:eastAsia="en-US"/>
        </w:rPr>
        <w:t>Водоохранными</w:t>
      </w:r>
      <w:proofErr w:type="spellEnd"/>
      <w:r w:rsidRPr="00F25A15">
        <w:rPr>
          <w:rFonts w:eastAsia="Calibri"/>
          <w:kern w:val="0"/>
          <w:sz w:val="28"/>
          <w:szCs w:val="28"/>
          <w:lang w:eastAsia="en-US"/>
        </w:rPr>
        <w:t xml:space="preserve"> зонами</w:t>
      </w:r>
    </w:p>
    <w:p w:rsidR="00F25A15" w:rsidRPr="00F25A15" w:rsidRDefault="00F25A15" w:rsidP="00F25A15">
      <w:pPr>
        <w:pStyle w:val="ab"/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eastAsia="Calibri"/>
          <w:kern w:val="0"/>
          <w:sz w:val="28"/>
          <w:szCs w:val="28"/>
          <w:lang w:eastAsia="en-US"/>
        </w:rPr>
      </w:pPr>
      <w:r w:rsidRPr="00F25A15">
        <w:rPr>
          <w:rFonts w:eastAsia="Calibri"/>
          <w:kern w:val="0"/>
          <w:sz w:val="28"/>
          <w:szCs w:val="28"/>
          <w:lang w:eastAsia="en-US"/>
        </w:rPr>
        <w:t>Зонами охраны источников водоснабжения</w:t>
      </w:r>
    </w:p>
    <w:p w:rsidR="00F25A15" w:rsidRPr="00F25A15" w:rsidRDefault="00F25A15" w:rsidP="00F25A15">
      <w:pPr>
        <w:pStyle w:val="ab"/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eastAsia="Calibri"/>
          <w:kern w:val="0"/>
          <w:sz w:val="28"/>
          <w:szCs w:val="28"/>
          <w:lang w:eastAsia="en-US"/>
        </w:rPr>
      </w:pPr>
      <w:r w:rsidRPr="00F25A15">
        <w:rPr>
          <w:rFonts w:eastAsia="Calibri"/>
          <w:kern w:val="0"/>
          <w:sz w:val="28"/>
          <w:szCs w:val="28"/>
          <w:lang w:eastAsia="en-US"/>
        </w:rPr>
        <w:t>Охранными и санитарно-защитными зонами транспортной и инженерной инфраструктур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5A15" w:rsidRPr="00F25A15" w:rsidRDefault="00F25A15" w:rsidP="00F25A15">
      <w:pPr>
        <w:pStyle w:val="3"/>
        <w:spacing w:after="0" w:afterAutospacing="0"/>
        <w:rPr>
          <w:sz w:val="28"/>
          <w:szCs w:val="28"/>
        </w:rPr>
      </w:pPr>
      <w:bookmarkStart w:id="1" w:name="_Toc359145253"/>
      <w:bookmarkStart w:id="2" w:name="_Toc361857131"/>
      <w:r w:rsidRPr="00F25A15">
        <w:rPr>
          <w:sz w:val="28"/>
          <w:szCs w:val="28"/>
        </w:rPr>
        <w:t>8.1. Охрана атмосферного воздуха</w:t>
      </w:r>
      <w:bookmarkEnd w:id="1"/>
      <w:bookmarkEnd w:id="2"/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требованиями федерального закона «Об охране атмосферного воздуха» юридические лица, имеющие источники выбросов 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вредных (загрязняющих) веществ в атмосферный воздух, должны разрабатывать и осуществлять мероприятия по охране атмосферного воздуха. 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Основные направления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воздухоохранных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мероприятий для действующих произво</w:t>
      </w:r>
      <w:proofErr w:type="gram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дств вкл</w:t>
      </w:r>
      <w:proofErr w:type="gram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ючают технологические и специальные мероприятия, направленные на сокращение объемов выбросов и снижение их приземных концентраций. 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Технологические мероприятия включают: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использование более прогрессивной технологии по сравнению с применяющейся на других предприятиях для получения той же продукции;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увеличение единичной мощности агрегатов при одинаковой суммарной производительности;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применение в производстве более "чистого" вида топлива;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применение рециркуляции дымовых газов;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внедрение наиболее совершенной структуры газового баланса предприятия.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К специальным мероприятиям, направленным на сокращение объемов и токсичности выбросов объекта и снижение приземных концентраций загрязняющих веществ, относятся: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сокращение неорганизованных выбросов;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очистка и обезвреживание вредных веществ из отходящих газов;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улучшение условий рассеивания выбросов.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отсутствии разрешений на выбросы вредных (загрязняющих) веществ в атмосферный воздух, а также при нарушении условий, предусмотренных данными разрешениями, выбросы вредных (загрязняющих) веществ в атмосферный воздух должны быть ограничены, приостановлены или прекращены в порядке, определенном Постановлением Правительства РФ от 28 ноября 2002 года №847. 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получении прогнозов неблагоприятных метеорологических условий,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природопользователи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имеющие источники выбросов вредных (загрязняющих) веществ в атмосферный воздух, обязаны уменьшить выбросы вредных (загрязняющих) веществ в атмосферный воздух. 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целью улучшения акустического режима жилой застройки, расположенной в зоне негативных воздействий автомобильных (железной) дорог, рекомендуется вдоль них построить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шумозащитные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экраны. Также защита жилых кварталов от шума должна сопровождаться подсадкой защитных древесно-кустарниковых полос. Эти мероприятия позволят снизить и концентрации вредных (загрязняющих) веще</w:t>
      </w:r>
      <w:proofErr w:type="gram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ств в пр</w:t>
      </w:r>
      <w:proofErr w:type="gram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иземном слое атмосферы на территории населенных пунктов.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Также рекомендуется максимально озеленять СЗЗ с организацией полосы древесно-кустарниковых насаждений со стороны жилой застройки. Санитарно-защитная зона для предприятий IV, V классов должна быть максимально озеленена - не менее 60% площади; для предприятий II и III класса - не менее 50%; для предприятий, имеющих санитарно-защитную зону 1000 м и более - не менее 40% ее территории (СНиП 2.07.01-89*).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статьей 45 ФЗ «Об охране окружающей среды» юридические и физические лица, осуществляющие эксплуатацию автомобильных транспортных средств, обязаны соблюдать нормативы допустимых выбросов веществ, а также принимать меры по обезвреживанию загрязняющих веществ, в том числе их нейтрализации, снижению уровня шума и иного негативного воздействия на окружающую среду.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Экологические требования к автотранспорту, в первую очередь, включают его соответствие или несоответствие техническим нормативам выбросов вредных веществ в атмосферу, установленных соответствующими стандартами. Транспортные средства, выбросы которых оказывают вредное воздействие на атмосферный воздух, подлежат регулярной проверке на соответствие таких выбросов техническим нормативам выбросов.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«Об ограничении, приостановлении или прекращении выбросов вредных (загрязняющих) веществ в атмосферный воздух и вредных физических воздействий на атмосферный воздух», утвержденное Постановлением Правительства РФ от 28 ноября 2002 года N 847 гласит: если в ходе регулярных проверок транспортных и иных передвижных средств на соответствие осуществляемых ими выбросов техническим нормативам установлено превышение технических нормативов, эксплуатация указанных средств запрещается в соответствии со</w:t>
      </w:r>
      <w:proofErr w:type="gram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статьей 17 Федерального закона "Об охране атмосферного воздуха".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уменьшения загрязнения атмосферного воздуха выхлопными газами автотранспорта для заправки автомобилей следует использовать неэтилированный бензин, сжиженный газ.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5A15" w:rsidRPr="00F25A15" w:rsidRDefault="00F25A15" w:rsidP="00F25A15">
      <w:pPr>
        <w:pStyle w:val="3"/>
        <w:spacing w:after="0" w:afterAutospacing="0"/>
        <w:rPr>
          <w:rFonts w:eastAsia="Calibri"/>
          <w:sz w:val="28"/>
          <w:szCs w:val="28"/>
          <w:lang w:eastAsia="en-US"/>
        </w:rPr>
      </w:pPr>
      <w:bookmarkStart w:id="3" w:name="_Toc359145254"/>
      <w:bookmarkStart w:id="4" w:name="_Toc361857132"/>
      <w:r w:rsidRPr="00F25A15">
        <w:rPr>
          <w:rFonts w:eastAsia="Calibri"/>
          <w:sz w:val="28"/>
          <w:szCs w:val="28"/>
          <w:lang w:eastAsia="en-US"/>
        </w:rPr>
        <w:t>8.2. Санитарно-защитные зоны</w:t>
      </w:r>
      <w:bookmarkEnd w:id="3"/>
      <w:bookmarkEnd w:id="4"/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СанПиН 2.2.1/2.1.1.1200-03 «Санитарно-защитные зоны и санитарная классификация предприятий, сооружений и иных объектов» для предприятий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Новосултангуловскогосельсовета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установлены санитарно-защитные зоны, предназначенные для создания барьера между территорией предприятия (группы предприятий) и территорией жилой застройки.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5A15" w:rsidRPr="00F25A15" w:rsidRDefault="00F25A15" w:rsidP="00F25A1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Размеры санитарно-защитных зон от источников</w:t>
      </w:r>
    </w:p>
    <w:p w:rsidR="00F25A15" w:rsidRPr="00F25A15" w:rsidRDefault="00F25A15" w:rsidP="00F25A15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25A1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загрязнения атмосферы МО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241"/>
        <w:gridCol w:w="4012"/>
        <w:gridCol w:w="2145"/>
        <w:gridCol w:w="2172"/>
      </w:tblGrid>
      <w:tr w:rsidR="00F25A15" w:rsidRPr="00F25A15" w:rsidTr="006550BB">
        <w:tc>
          <w:tcPr>
            <w:tcW w:w="1241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bidi="en-US"/>
              </w:rPr>
              <w:t xml:space="preserve">№ </w:t>
            </w:r>
            <w:proofErr w:type="gramStart"/>
            <w:r w:rsidRPr="00F25A15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bidi="en-US"/>
              </w:rPr>
              <w:t>п</w:t>
            </w:r>
            <w:proofErr w:type="gramEnd"/>
            <w:r w:rsidRPr="00F25A15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bidi="en-US"/>
              </w:rPr>
              <w:t>/п</w:t>
            </w:r>
          </w:p>
        </w:tc>
        <w:tc>
          <w:tcPr>
            <w:tcW w:w="4012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bidi="en-US"/>
              </w:rPr>
              <w:t>Наименование объекта</w:t>
            </w:r>
          </w:p>
        </w:tc>
        <w:tc>
          <w:tcPr>
            <w:tcW w:w="2145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bidi="en-US"/>
              </w:rPr>
              <w:t>Класс опасности объекта</w:t>
            </w:r>
          </w:p>
        </w:tc>
        <w:tc>
          <w:tcPr>
            <w:tcW w:w="2172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bidi="en-US"/>
              </w:rPr>
              <w:t xml:space="preserve">Санитарно-защитная зона, </w:t>
            </w:r>
            <w:proofErr w:type="gramStart"/>
            <w:r w:rsidRPr="00F25A15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bidi="en-US"/>
              </w:rPr>
              <w:t>м</w:t>
            </w:r>
            <w:proofErr w:type="gramEnd"/>
          </w:p>
        </w:tc>
      </w:tr>
      <w:tr w:rsidR="00F25A15" w:rsidRPr="00F25A15" w:rsidTr="006550BB">
        <w:trPr>
          <w:trHeight w:val="576"/>
        </w:trPr>
        <w:tc>
          <w:tcPr>
            <w:tcW w:w="1241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1</w:t>
            </w:r>
          </w:p>
        </w:tc>
        <w:tc>
          <w:tcPr>
            <w:tcW w:w="4012" w:type="dxa"/>
          </w:tcPr>
          <w:p w:rsidR="00F25A15" w:rsidRPr="00F25A15" w:rsidRDefault="00F25A15" w:rsidP="00F25A15">
            <w:pPr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 xml:space="preserve">Нефтедобывающая </w:t>
            </w:r>
            <w:proofErr w:type="spellStart"/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скв</w:t>
            </w: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  <w:t>ажина</w:t>
            </w:r>
            <w:proofErr w:type="spellEnd"/>
          </w:p>
        </w:tc>
        <w:tc>
          <w:tcPr>
            <w:tcW w:w="2145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2172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  <w:t>300</w:t>
            </w:r>
          </w:p>
        </w:tc>
      </w:tr>
      <w:tr w:rsidR="00F25A15" w:rsidRPr="00F25A15" w:rsidTr="006550BB">
        <w:tc>
          <w:tcPr>
            <w:tcW w:w="1241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2</w:t>
            </w:r>
          </w:p>
        </w:tc>
        <w:tc>
          <w:tcPr>
            <w:tcW w:w="4012" w:type="dxa"/>
          </w:tcPr>
          <w:p w:rsidR="00F25A15" w:rsidRPr="00F25A15" w:rsidRDefault="00F25A15" w:rsidP="00F25A15">
            <w:pPr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</w:pPr>
            <w:proofErr w:type="spellStart"/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  <w:t>Эл</w:t>
            </w:r>
            <w:proofErr w:type="spellEnd"/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  <w:t xml:space="preserve">. </w:t>
            </w:r>
            <w:proofErr w:type="spellStart"/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  <w:t>подстанция</w:t>
            </w:r>
            <w:proofErr w:type="spellEnd"/>
          </w:p>
        </w:tc>
        <w:tc>
          <w:tcPr>
            <w:tcW w:w="2145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2172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  <w:t>300</w:t>
            </w:r>
          </w:p>
        </w:tc>
      </w:tr>
      <w:tr w:rsidR="00F25A15" w:rsidRPr="00F25A15" w:rsidTr="006550BB">
        <w:tc>
          <w:tcPr>
            <w:tcW w:w="1241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3</w:t>
            </w:r>
          </w:p>
        </w:tc>
        <w:tc>
          <w:tcPr>
            <w:tcW w:w="4012" w:type="dxa"/>
          </w:tcPr>
          <w:p w:rsidR="00F25A15" w:rsidRPr="00F25A15" w:rsidRDefault="00F25A15" w:rsidP="00F25A15">
            <w:pPr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ОТФ</w:t>
            </w:r>
          </w:p>
        </w:tc>
        <w:tc>
          <w:tcPr>
            <w:tcW w:w="2145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  <w:t>IV</w:t>
            </w:r>
          </w:p>
        </w:tc>
        <w:tc>
          <w:tcPr>
            <w:tcW w:w="2172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100</w:t>
            </w:r>
          </w:p>
        </w:tc>
      </w:tr>
      <w:tr w:rsidR="00F25A15" w:rsidRPr="00F25A15" w:rsidTr="006550BB">
        <w:tc>
          <w:tcPr>
            <w:tcW w:w="1241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4</w:t>
            </w:r>
          </w:p>
        </w:tc>
        <w:tc>
          <w:tcPr>
            <w:tcW w:w="4012" w:type="dxa"/>
          </w:tcPr>
          <w:p w:rsidR="00F25A15" w:rsidRPr="00F25A15" w:rsidRDefault="00F25A15" w:rsidP="00F25A15">
            <w:pPr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Кузница</w:t>
            </w:r>
          </w:p>
        </w:tc>
        <w:tc>
          <w:tcPr>
            <w:tcW w:w="2145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  <w:t>IV</w:t>
            </w:r>
          </w:p>
        </w:tc>
        <w:tc>
          <w:tcPr>
            <w:tcW w:w="2172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100</w:t>
            </w:r>
          </w:p>
        </w:tc>
      </w:tr>
      <w:tr w:rsidR="00F25A15" w:rsidRPr="00F25A15" w:rsidTr="006550BB">
        <w:tc>
          <w:tcPr>
            <w:tcW w:w="1241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5</w:t>
            </w:r>
          </w:p>
        </w:tc>
        <w:tc>
          <w:tcPr>
            <w:tcW w:w="4012" w:type="dxa"/>
          </w:tcPr>
          <w:p w:rsidR="00F25A15" w:rsidRPr="00F25A15" w:rsidRDefault="00F25A15" w:rsidP="00F25A15">
            <w:pPr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Овощехранилище</w:t>
            </w:r>
          </w:p>
        </w:tc>
        <w:tc>
          <w:tcPr>
            <w:tcW w:w="2145" w:type="dxa"/>
            <w:vAlign w:val="center"/>
          </w:tcPr>
          <w:p w:rsidR="00F25A15" w:rsidRPr="00F25A15" w:rsidRDefault="00F25A15" w:rsidP="00F25A15">
            <w:pPr>
              <w:suppressLineNumbers/>
              <w:snapToGrid w:val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F25A15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V</w:t>
            </w:r>
          </w:p>
        </w:tc>
        <w:tc>
          <w:tcPr>
            <w:tcW w:w="2172" w:type="dxa"/>
            <w:vAlign w:val="center"/>
          </w:tcPr>
          <w:p w:rsidR="00F25A15" w:rsidRPr="00F25A15" w:rsidRDefault="00F25A15" w:rsidP="00F25A15">
            <w:pPr>
              <w:suppressLineNumbers/>
              <w:snapToGrid w:val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F25A15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50</w:t>
            </w:r>
          </w:p>
        </w:tc>
      </w:tr>
      <w:tr w:rsidR="00F25A15" w:rsidRPr="00F25A15" w:rsidTr="006550BB">
        <w:tc>
          <w:tcPr>
            <w:tcW w:w="1241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6</w:t>
            </w:r>
          </w:p>
        </w:tc>
        <w:tc>
          <w:tcPr>
            <w:tcW w:w="4012" w:type="dxa"/>
          </w:tcPr>
          <w:p w:rsidR="00F25A15" w:rsidRPr="00F25A15" w:rsidRDefault="00F25A15" w:rsidP="00F25A15">
            <w:pPr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proofErr w:type="spellStart"/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Мехток</w:t>
            </w:r>
            <w:proofErr w:type="spellEnd"/>
          </w:p>
        </w:tc>
        <w:tc>
          <w:tcPr>
            <w:tcW w:w="2145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  <w:t>IV</w:t>
            </w:r>
          </w:p>
        </w:tc>
        <w:tc>
          <w:tcPr>
            <w:tcW w:w="2172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100</w:t>
            </w:r>
          </w:p>
        </w:tc>
      </w:tr>
      <w:tr w:rsidR="00F25A15" w:rsidRPr="00F25A15" w:rsidTr="006550BB">
        <w:tc>
          <w:tcPr>
            <w:tcW w:w="1241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7</w:t>
            </w:r>
          </w:p>
        </w:tc>
        <w:tc>
          <w:tcPr>
            <w:tcW w:w="4012" w:type="dxa"/>
          </w:tcPr>
          <w:p w:rsidR="00F25A15" w:rsidRPr="00F25A15" w:rsidRDefault="00F25A15" w:rsidP="00F25A15">
            <w:pPr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МТФ ОАО «Алга»</w:t>
            </w:r>
          </w:p>
        </w:tc>
        <w:tc>
          <w:tcPr>
            <w:tcW w:w="2145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bidi="en-US"/>
              </w:rPr>
              <w:t>IV</w:t>
            </w:r>
          </w:p>
        </w:tc>
        <w:tc>
          <w:tcPr>
            <w:tcW w:w="2172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100</w:t>
            </w:r>
          </w:p>
        </w:tc>
      </w:tr>
      <w:tr w:rsidR="00F25A15" w:rsidRPr="00F25A15" w:rsidTr="006550BB">
        <w:tc>
          <w:tcPr>
            <w:tcW w:w="1241" w:type="dxa"/>
            <w:vAlign w:val="center"/>
          </w:tcPr>
          <w:p w:rsidR="00F25A15" w:rsidRPr="00F25A15" w:rsidRDefault="00F25A15" w:rsidP="00F25A15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8</w:t>
            </w:r>
          </w:p>
        </w:tc>
        <w:tc>
          <w:tcPr>
            <w:tcW w:w="4012" w:type="dxa"/>
          </w:tcPr>
          <w:p w:rsidR="00F25A15" w:rsidRPr="00F25A15" w:rsidRDefault="00F25A15" w:rsidP="00F25A15">
            <w:pPr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</w:pPr>
            <w:r w:rsidRPr="00F25A1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bidi="en-US"/>
              </w:rPr>
              <w:t>Конюшня</w:t>
            </w:r>
          </w:p>
        </w:tc>
        <w:tc>
          <w:tcPr>
            <w:tcW w:w="2145" w:type="dxa"/>
            <w:vAlign w:val="center"/>
          </w:tcPr>
          <w:p w:rsidR="00F25A15" w:rsidRPr="00F25A15" w:rsidRDefault="00F25A15" w:rsidP="00F25A15">
            <w:pPr>
              <w:suppressLineNumbers/>
              <w:snapToGrid w:val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F25A15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V</w:t>
            </w:r>
          </w:p>
        </w:tc>
        <w:tc>
          <w:tcPr>
            <w:tcW w:w="2172" w:type="dxa"/>
            <w:vAlign w:val="center"/>
          </w:tcPr>
          <w:p w:rsidR="00F25A15" w:rsidRPr="00F25A15" w:rsidRDefault="00F25A15" w:rsidP="00F25A15">
            <w:pPr>
              <w:suppressLineNumbers/>
              <w:snapToGrid w:val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F25A15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50</w:t>
            </w:r>
          </w:p>
        </w:tc>
      </w:tr>
    </w:tbl>
    <w:p w:rsidR="00F25A15" w:rsidRPr="00F25A15" w:rsidRDefault="00F25A15" w:rsidP="00F25A1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F25A15" w:rsidRPr="00F25A15" w:rsidRDefault="00F25A15" w:rsidP="00F25A1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Санитарно-защитные зоны </w:t>
      </w:r>
      <w:proofErr w:type="gram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объектов, влияющих на окружающую среду нанесены</w:t>
      </w:r>
      <w:proofErr w:type="gram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схеме комплексной оценки. 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Размеры охранных зон линий электропередачи приняты в зависимости от их напряжения (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кВ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в соответствии с «Правилами охраны электрических сетей напряжением свыше 1000 Вольт» (М.,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Энергоатомиздат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, 1985) и новой редакцией СанПиН 2.2.1/2.1.1. 1200-03.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территориях в границах санитарно-защитных зон запрещено: размещать новую жилую застройку, включая отдельные жилые дома, ландшафтно-рекреационные зоны, эксплуатировать садово-огородные участки, детские площадки, образовательные и детские учреждения, оздоровительные учреждения общего пользования, объекты пищевой промышленности и другие территории с нормируемыми показателями качества. 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Проектные предложения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Новое </w:t>
      </w:r>
      <w:proofErr w:type="gram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жилое строительство</w:t>
      </w:r>
      <w:proofErr w:type="gram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в границах санитарно-защитных зон и санитарных разрывов генеральным планом не предусматривается.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При размещении новых объектов в планируемой производственной зоне необходимо оценивать имеющиеся территориальные ресурсы для организации санитарно-защитной зоны, т.е. фактическое расстояние до границы нормируемых территорий (как существующих, так и планируемых). Приоритетом считать соблюдение установленных гигиенических нормативов загрязняющих веществ в атмосферном воздухе и уровней физического воздействия на атмосферный воздух.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5A15" w:rsidRPr="00F25A15" w:rsidRDefault="00F25A15" w:rsidP="00F25A15">
      <w:pPr>
        <w:pStyle w:val="3"/>
        <w:spacing w:after="0" w:afterAutospacing="0"/>
        <w:rPr>
          <w:rFonts w:eastAsia="Calibri"/>
          <w:sz w:val="28"/>
          <w:szCs w:val="28"/>
          <w:lang w:eastAsia="en-US"/>
        </w:rPr>
      </w:pPr>
      <w:bookmarkStart w:id="5" w:name="_Toc359145255"/>
      <w:bookmarkStart w:id="6" w:name="_Toc361857133"/>
      <w:r w:rsidRPr="00F25A15">
        <w:rPr>
          <w:rFonts w:eastAsia="Calibri"/>
          <w:sz w:val="28"/>
          <w:szCs w:val="28"/>
          <w:lang w:eastAsia="en-US"/>
        </w:rPr>
        <w:lastRenderedPageBreak/>
        <w:t>8.3. Мероприятия по охране поверхностных и подземных вод</w:t>
      </w:r>
      <w:bookmarkEnd w:id="5"/>
      <w:bookmarkEnd w:id="6"/>
    </w:p>
    <w:p w:rsidR="00F25A15" w:rsidRPr="00F25A15" w:rsidRDefault="00F25A15" w:rsidP="00F25A15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25A15" w:rsidRPr="00F25A15" w:rsidRDefault="00F25A15" w:rsidP="00F25A1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Водному Кодексу Российской Федерации от 03.06.2006г №74–ФЗ установлены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водоохранные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зоны для рек и ручьев для МО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Новосултангуловскийсельсовет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река Большой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Кинел</w:t>
      </w:r>
      <w:proofErr w:type="gram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proofErr w:type="gram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протяженность 155 км) — ширина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водоохранной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зоны 200 метров;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-река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Зерекл</w:t>
      </w:r>
      <w:proofErr w:type="gram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proofErr w:type="gram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протяженность 13км) — ширина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водоохранной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зоны 100 метров;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пруды, озера, ручьи — ширина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водоохранной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зоны 50 метров.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границах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водоохранных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зон запрещается: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использование сточных вод для удобрения почв; 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размещение кладбищ, скотомогильников, мест захоронения отходов производства и потребления, радиоактивных, химических, взрывчатых, токсичных, отравляющих и ядовитых веществ; 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осуществление авиационных мер по борьбе с вредителями и болезнями растений;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В границах прибрежных защитных полос запрещаются: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1) распашка земель;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2) размещение отвалов размываемых грунтов;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3) выпас сельскохозяйственных животных и организация для них летних лагерей, ванн.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защиты водоемов и водотоков от загрязнения рекомендуется строго соблюдать перечисленные требования. 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</w:t>
      </w:r>
      <w:proofErr w:type="gram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Санитарных правил и норм СанПиН 2.1.4.1110-02 (от 01 июня 2002 г.) вокруг водозаборных скважин и станции II подъема питьевой воды нанесен I пояс (строгого режима) зоны санитарной охраны в размере 50м; II и III пояса не нанесены, т.к. являются расчетными.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В границах ЗСО подземных водозаборов, водопроводных сооружений и водоводов запрещается: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а) применение удобрений и ядохимикатов;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б) размещение кладбищ, скотомогильников, полей фильтрации, навозохранилищ, силосных траншей, животноводческих траншей и других объектов, обусловливающих опасность микробного загрязнения подземных вод.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ab/>
        <w:t xml:space="preserve">В пределах санитарных разрывов водоводов не допускается располагать источники загрязнения почвы и грунтовых вод. </w:t>
      </w:r>
    </w:p>
    <w:p w:rsidR="00F25A15" w:rsidRPr="00F25A15" w:rsidRDefault="00F25A15" w:rsidP="00F25A1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целью обеспечения населения качественной питьевой водой для всех водозаборных скважин (в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т.ч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. и личных) и станции II подъема или насосно-фильтровальной станции необходимо разработать проект организации зоны санитарной охраны с определением границ составляющих ее поясов и разработать комплекс необходимых организационных, технических, гигиенических и противоэпидемических мероприятий.</w:t>
      </w:r>
    </w:p>
    <w:p w:rsidR="00F25A15" w:rsidRPr="00F25A15" w:rsidRDefault="00F25A15" w:rsidP="00F25A15">
      <w:pPr>
        <w:pStyle w:val="3"/>
        <w:spacing w:after="0" w:afterAutospacing="0"/>
        <w:rPr>
          <w:rFonts w:eastAsia="Calibri"/>
          <w:sz w:val="28"/>
          <w:szCs w:val="28"/>
          <w:lang w:eastAsia="en-US"/>
        </w:rPr>
      </w:pPr>
      <w:bookmarkStart w:id="7" w:name="_Toc359145256"/>
      <w:bookmarkStart w:id="8" w:name="_Toc361857134"/>
      <w:r w:rsidRPr="00F25A15">
        <w:rPr>
          <w:rFonts w:eastAsia="Calibri"/>
          <w:sz w:val="28"/>
          <w:szCs w:val="28"/>
          <w:lang w:eastAsia="en-US"/>
        </w:rPr>
        <w:t>8.4. Охрана почвенного покрова</w:t>
      </w:r>
      <w:bookmarkEnd w:id="7"/>
      <w:bookmarkEnd w:id="8"/>
    </w:p>
    <w:p w:rsidR="00F25A15" w:rsidRPr="00F25A15" w:rsidRDefault="00F25A15" w:rsidP="00F25A15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обеспечения охраны и рационального использования почвы необходимо предусмотреть комплекс мероприятий по ее рекультивации. 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Рекультивации подлежат земли, нарушенные и (или) загрязненные </w:t>
      </w:r>
      <w:proofErr w:type="gram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при</w:t>
      </w:r>
      <w:proofErr w:type="gram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- разработке месторождений полезных ископаемых;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- прокладке трубопроводов различного назначения;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proofErr w:type="gram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складировании</w:t>
      </w:r>
      <w:proofErr w:type="gram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захоронении промышленных, бытовых биологических и пр. отходов, ядохимикатов. 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также обеспечить </w:t>
      </w:r>
      <w:proofErr w:type="gram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качеством и своевременностью выполнения работ по рекультивации нарушенных земель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Рекультивация нарушенных земель осуществляется для восстановления их для сельскохозяйственных, лесохозяйственных, водохозяйственных, строительных, рекреационных, природоохранных и санитарно-оздоровительных целей.</w:t>
      </w:r>
    </w:p>
    <w:p w:rsidR="00F25A15" w:rsidRPr="00F25A15" w:rsidRDefault="00F25A15" w:rsidP="00F25A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ст.67 Водного Кодекса РФ на территориях, подверженных затоплению, размещение новых населенных пунктов, кладбищ, скотомогильников и строительство капитальных зданий, строений, сооружений без проведения специальных защитных мероприятий по предотвращению негативного воздействия вод запрещается.</w:t>
      </w:r>
    </w:p>
    <w:p w:rsidR="00F25A15" w:rsidRPr="00F25A15" w:rsidRDefault="00F25A15" w:rsidP="00F25A15">
      <w:pPr>
        <w:pStyle w:val="3"/>
        <w:spacing w:after="0" w:afterAutospacing="0"/>
        <w:rPr>
          <w:rFonts w:eastAsia="Calibri"/>
          <w:kern w:val="1"/>
          <w:sz w:val="28"/>
          <w:szCs w:val="28"/>
          <w:lang w:eastAsia="en-US"/>
        </w:rPr>
      </w:pPr>
      <w:bookmarkStart w:id="9" w:name="_Toc359145257"/>
      <w:bookmarkStart w:id="10" w:name="_Toc361857135"/>
      <w:r w:rsidRPr="00F25A15">
        <w:rPr>
          <w:rFonts w:eastAsia="Calibri"/>
          <w:sz w:val="28"/>
          <w:szCs w:val="28"/>
          <w:lang w:eastAsia="en-US"/>
        </w:rPr>
        <w:t>8.5. Санитарная очистка территории</w:t>
      </w:r>
      <w:bookmarkEnd w:id="9"/>
      <w:bookmarkEnd w:id="10"/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Объектами санитарной очистки и уборки на территории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Новосултангуловского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 являются территории домовладений, уличные и микрорайонные проезды, парки, скверы общественного пользования и отдыха, объекты культурного назначения, территории предприятий, учреждений, места уличной торговли.</w:t>
      </w:r>
    </w:p>
    <w:p w:rsidR="00F25A15" w:rsidRPr="00F25A15" w:rsidRDefault="00F25A15" w:rsidP="00F25A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Организация системы современной санитарной очистки поселения включает: сбор и удаление ТБО, сбор и вывоз жидких отходов из </w:t>
      </w:r>
      <w:proofErr w:type="spellStart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>неканализованных</w:t>
      </w:r>
      <w:proofErr w:type="spellEnd"/>
      <w:r w:rsidRPr="00F2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зданий, уборка территории от мусора, смета, снега, мытье усовершенствованных покрытий.</w:t>
      </w:r>
    </w:p>
    <w:p w:rsidR="00184742" w:rsidRDefault="00184742" w:rsidP="00B338DE">
      <w:pPr>
        <w:jc w:val="both"/>
      </w:pPr>
    </w:p>
    <w:sectPr w:rsidR="00184742" w:rsidSect="00184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15F1F"/>
    <w:multiLevelType w:val="multilevel"/>
    <w:tmpl w:val="D46A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FD739D"/>
    <w:multiLevelType w:val="hybridMultilevel"/>
    <w:tmpl w:val="3BE2D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1591"/>
    <w:rsid w:val="00057553"/>
    <w:rsid w:val="00184742"/>
    <w:rsid w:val="001967BF"/>
    <w:rsid w:val="002372CD"/>
    <w:rsid w:val="002806A7"/>
    <w:rsid w:val="003525B0"/>
    <w:rsid w:val="005F54A3"/>
    <w:rsid w:val="00642ED7"/>
    <w:rsid w:val="00770EFF"/>
    <w:rsid w:val="007C08BC"/>
    <w:rsid w:val="009E1591"/>
    <w:rsid w:val="00A54B14"/>
    <w:rsid w:val="00A91AF4"/>
    <w:rsid w:val="00B338DE"/>
    <w:rsid w:val="00BF2343"/>
    <w:rsid w:val="00CD7B4E"/>
    <w:rsid w:val="00D86E69"/>
    <w:rsid w:val="00DE298F"/>
    <w:rsid w:val="00EA0E71"/>
    <w:rsid w:val="00EC4F90"/>
    <w:rsid w:val="00F2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42"/>
  </w:style>
  <w:style w:type="paragraph" w:styleId="2">
    <w:name w:val="heading 2"/>
    <w:basedOn w:val="a"/>
    <w:link w:val="20"/>
    <w:uiPriority w:val="9"/>
    <w:qFormat/>
    <w:rsid w:val="009E15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E15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E15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159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E159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E159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9E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E1591"/>
    <w:rPr>
      <w:color w:val="0000FF"/>
      <w:u w:val="single"/>
    </w:rPr>
  </w:style>
  <w:style w:type="paragraph" w:customStyle="1" w:styleId="callout">
    <w:name w:val="callout"/>
    <w:basedOn w:val="a"/>
    <w:rsid w:val="009E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a"/>
    <w:basedOn w:val="a"/>
    <w:rsid w:val="009E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E1591"/>
    <w:rPr>
      <w:b/>
      <w:bCs/>
    </w:rPr>
  </w:style>
  <w:style w:type="character" w:customStyle="1" w:styleId="coverfolder-title">
    <w:name w:val="coverfolder-title"/>
    <w:basedOn w:val="a0"/>
    <w:rsid w:val="009E159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E15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E159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E15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E1591"/>
    <w:rPr>
      <w:rFonts w:ascii="Arial" w:eastAsia="Times New Roman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9E1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1591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DE298F"/>
    <w:rPr>
      <w:color w:val="800080" w:themeColor="followedHyperlink"/>
      <w:u w:val="single"/>
    </w:rPr>
  </w:style>
  <w:style w:type="table" w:customStyle="1" w:styleId="31">
    <w:name w:val="Сетка таблицы3"/>
    <w:basedOn w:val="a1"/>
    <w:next w:val="aa"/>
    <w:uiPriority w:val="59"/>
    <w:rsid w:val="00F25A1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F25A1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table" w:styleId="aa">
    <w:name w:val="Table Grid"/>
    <w:basedOn w:val="a1"/>
    <w:uiPriority w:val="59"/>
    <w:rsid w:val="00F25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5780">
                  <w:marLeft w:val="-113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3268">
                      <w:marLeft w:val="341"/>
                      <w:marRight w:val="3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39471">
                          <w:marLeft w:val="0"/>
                          <w:marRight w:val="0"/>
                          <w:marTop w:val="24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7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4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26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8018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4876018">
                  <w:marLeft w:val="-15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95138">
                      <w:marLeft w:val="2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9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  <w:div w:id="877284158">
                      <w:marLeft w:val="2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5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1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8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70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0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7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57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5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88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26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52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1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71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2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11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01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1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5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7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5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634362">
                      <w:marLeft w:val="2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2631885">
              <w:marLeft w:val="0"/>
              <w:marRight w:val="0"/>
              <w:marTop w:val="0"/>
              <w:marBottom w:val="240"/>
              <w:divBdr>
                <w:top w:val="single" w:sz="12" w:space="0" w:color="A6012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06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4818">
                      <w:marLeft w:val="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8416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1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81127">
                      <w:marLeft w:val="195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9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0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29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stud56.ru/ohrana-okruzhayuschei-sredy/informaciya-o-sostoyanii-okruzhayuschei-sredy-i-ob-ispolzovanii-prirodnyh-resurs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7</Pages>
  <Words>2123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13</cp:revision>
  <dcterms:created xsi:type="dcterms:W3CDTF">2022-07-14T10:33:00Z</dcterms:created>
  <dcterms:modified xsi:type="dcterms:W3CDTF">2026-01-29T12:08:00Z</dcterms:modified>
</cp:coreProperties>
</file>